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81A30" w:rsidRPr="00984DCE" w:rsidTr="005F63AE">
        <w:trPr>
          <w:trHeight w:val="409"/>
        </w:trPr>
        <w:tc>
          <w:tcPr>
            <w:tcW w:w="9922" w:type="dxa"/>
            <w:shd w:val="clear" w:color="auto" w:fill="BFBFBF"/>
            <w:vAlign w:val="center"/>
          </w:tcPr>
          <w:p w:rsidR="00881A30" w:rsidRPr="004878CB" w:rsidRDefault="00DB7389" w:rsidP="00984DCE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Coeliac disease</w:t>
            </w:r>
          </w:p>
        </w:tc>
      </w:tr>
      <w:tr w:rsidR="003653CE" w:rsidRPr="004878CB" w:rsidTr="005F63AE">
        <w:trPr>
          <w:trHeight w:val="569"/>
        </w:trPr>
        <w:tc>
          <w:tcPr>
            <w:tcW w:w="9922" w:type="dxa"/>
            <w:shd w:val="clear" w:color="auto" w:fill="auto"/>
            <w:vAlign w:val="center"/>
          </w:tcPr>
          <w:p w:rsidR="008B2623" w:rsidRPr="00984DCE" w:rsidRDefault="00984DCE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8B2623" w:rsidRDefault="008B2623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Definition</w:t>
            </w:r>
            <w:r w:rsidR="00DB7389">
              <w:rPr>
                <w:b/>
              </w:rPr>
              <w:t xml:space="preserve"> of coeliac disease</w:t>
            </w:r>
            <w:r w:rsidR="0005757F">
              <w:rPr>
                <w:b/>
              </w:rPr>
              <w:t>:</w:t>
            </w:r>
          </w:p>
          <w:p w:rsidR="003653CE" w:rsidRPr="003E068D" w:rsidRDefault="003E068D" w:rsidP="00984DC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b/>
              </w:rPr>
            </w:pPr>
            <w:r>
              <w:t xml:space="preserve">An autoimmune </w:t>
            </w:r>
            <w:proofErr w:type="spellStart"/>
            <w:r>
              <w:t>enteropathy</w:t>
            </w:r>
            <w:proofErr w:type="spellEnd"/>
            <w:r>
              <w:t xml:space="preserve"> of the small bowel</w:t>
            </w:r>
            <w:r w:rsidR="00DB7389">
              <w:t xml:space="preserve"> characterised</w:t>
            </w:r>
            <w:r>
              <w:t xml:space="preserve"> by mucosal inflammation on gluten exposure leading to</w:t>
            </w:r>
            <w:r w:rsidR="008A1F65">
              <w:t xml:space="preserve"> </w:t>
            </w:r>
            <w:r>
              <w:t>malabsorption</w:t>
            </w:r>
            <w:r w:rsidR="00A15082">
              <w:t>.</w:t>
            </w:r>
          </w:p>
          <w:p w:rsidR="008B2623" w:rsidRDefault="008B2623" w:rsidP="00984DCE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FC1B8D" w:rsidRPr="004878CB" w:rsidTr="005F63AE">
        <w:trPr>
          <w:trHeight w:val="569"/>
        </w:trPr>
        <w:tc>
          <w:tcPr>
            <w:tcW w:w="9922" w:type="dxa"/>
            <w:shd w:val="clear" w:color="auto" w:fill="auto"/>
            <w:vAlign w:val="center"/>
          </w:tcPr>
          <w:p w:rsidR="008B2623" w:rsidRDefault="008B2623" w:rsidP="00984DCE">
            <w:pPr>
              <w:spacing w:after="0" w:line="240" w:lineRule="auto"/>
              <w:contextualSpacing/>
              <w:rPr>
                <w:b/>
              </w:rPr>
            </w:pPr>
            <w:bookmarkStart w:id="0" w:name="_GoBack"/>
            <w:bookmarkEnd w:id="0"/>
          </w:p>
          <w:p w:rsidR="00FC1B8D" w:rsidRDefault="00984DCE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Epidemiology </w:t>
            </w:r>
            <w:r w:rsidR="0096140F">
              <w:rPr>
                <w:b/>
              </w:rPr>
              <w:t>of</w:t>
            </w:r>
            <w:r w:rsidR="0005757F">
              <w:rPr>
                <w:b/>
              </w:rPr>
              <w:t xml:space="preserve"> coeliac disease</w:t>
            </w:r>
            <w:r w:rsidR="0096140F">
              <w:rPr>
                <w:b/>
              </w:rPr>
              <w:t>:</w:t>
            </w:r>
          </w:p>
          <w:p w:rsidR="00FC1B8D" w:rsidRPr="0005757F" w:rsidRDefault="0005757F" w:rsidP="00984D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>
              <w:t>Globally, the prevalence is 1%. However, rates vary from as little as 1 in 300 to 1 in 40.</w:t>
            </w:r>
          </w:p>
          <w:p w:rsidR="0005757F" w:rsidRPr="0005757F" w:rsidRDefault="0005757F" w:rsidP="00984D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>
              <w:t>In the UK, the prevalence is 0.5-1%</w:t>
            </w:r>
          </w:p>
          <w:p w:rsidR="0005757F" w:rsidRPr="0005757F" w:rsidRDefault="003E068D" w:rsidP="00984D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>
              <w:t>Can occur at any age but peak incidences</w:t>
            </w:r>
            <w:r w:rsidR="00F4187A">
              <w:t xml:space="preserve"> are</w:t>
            </w:r>
            <w:r>
              <w:t xml:space="preserve"> in infancy and 5</w:t>
            </w:r>
            <w:r w:rsidRPr="003E068D">
              <w:rPr>
                <w:vertAlign w:val="superscript"/>
              </w:rPr>
              <w:t>th</w:t>
            </w:r>
            <w:r>
              <w:t xml:space="preserve"> decade.</w:t>
            </w:r>
          </w:p>
          <w:p w:rsidR="0005757F" w:rsidRPr="0005757F" w:rsidRDefault="0005757F" w:rsidP="00984D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>
              <w:t>It rarely affects individuals of African, Chinese or Japanese descent.</w:t>
            </w:r>
          </w:p>
          <w:p w:rsidR="00063007" w:rsidRPr="00063007" w:rsidRDefault="00063007" w:rsidP="0006300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>
              <w:t>Women affected more than men</w:t>
            </w:r>
            <w:r w:rsidR="002A422A">
              <w:t xml:space="preserve"> – approx. 2:1</w:t>
            </w:r>
          </w:p>
          <w:p w:rsidR="00D54133" w:rsidRDefault="00D54133" w:rsidP="00984DCE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881A30" w:rsidRPr="004878CB" w:rsidTr="005F63AE">
        <w:trPr>
          <w:trHeight w:val="569"/>
        </w:trPr>
        <w:tc>
          <w:tcPr>
            <w:tcW w:w="9922" w:type="dxa"/>
            <w:shd w:val="clear" w:color="auto" w:fill="auto"/>
            <w:vAlign w:val="center"/>
          </w:tcPr>
          <w:p w:rsidR="008B2623" w:rsidRDefault="008B2623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881A30" w:rsidRDefault="00063007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Aetiology of coeliac disease:</w:t>
            </w:r>
          </w:p>
          <w:p w:rsidR="006006F6" w:rsidRDefault="008A1F65" w:rsidP="00063007">
            <w:pPr>
              <w:numPr>
                <w:ilvl w:val="0"/>
                <w:numId w:val="30"/>
              </w:numPr>
              <w:spacing w:after="0" w:line="240" w:lineRule="auto"/>
            </w:pPr>
            <w:r>
              <w:t xml:space="preserve">T-cell mediated autoimmune response to dietary </w:t>
            </w:r>
            <w:proofErr w:type="spellStart"/>
            <w:r>
              <w:t>prolamin</w:t>
            </w:r>
            <w:proofErr w:type="spellEnd"/>
            <w:r>
              <w:t xml:space="preserve"> exposure (proteins in wheat, rye, barley </w:t>
            </w:r>
            <w:proofErr w:type="spellStart"/>
            <w:r>
              <w:t>etc</w:t>
            </w:r>
            <w:proofErr w:type="spellEnd"/>
            <w:r>
              <w:t xml:space="preserve"> such as </w:t>
            </w:r>
            <w:proofErr w:type="spellStart"/>
            <w:r>
              <w:t>gliadin</w:t>
            </w:r>
            <w:proofErr w:type="spellEnd"/>
            <w:r>
              <w:t xml:space="preserve">) giving an inflammatory response causing small bowel villous atrophy and thereby leading to malabsorption. </w:t>
            </w:r>
          </w:p>
          <w:p w:rsidR="00063007" w:rsidRDefault="00063007" w:rsidP="00063007">
            <w:pPr>
              <w:numPr>
                <w:ilvl w:val="0"/>
                <w:numId w:val="30"/>
              </w:numPr>
              <w:spacing w:after="0" w:line="240" w:lineRule="auto"/>
            </w:pPr>
            <w:r>
              <w:t>Genetic factors (10-15% first degree relative concordance, 70% identical twin concordance)</w:t>
            </w:r>
          </w:p>
          <w:p w:rsidR="00063007" w:rsidRDefault="00063007" w:rsidP="00063007">
            <w:pPr>
              <w:numPr>
                <w:ilvl w:val="1"/>
                <w:numId w:val="30"/>
              </w:numPr>
              <w:spacing w:after="0" w:line="240" w:lineRule="auto"/>
            </w:pPr>
            <w:r>
              <w:t>HLA-DQ2 (</w:t>
            </w:r>
            <w:proofErr w:type="spellStart"/>
            <w:r>
              <w:t>Sens</w:t>
            </w:r>
            <w:proofErr w:type="spellEnd"/>
            <w:r>
              <w:t xml:space="preserve"> 94%, spec 73%)</w:t>
            </w:r>
          </w:p>
          <w:p w:rsidR="00063007" w:rsidRDefault="00063007" w:rsidP="00063007">
            <w:pPr>
              <w:numPr>
                <w:ilvl w:val="1"/>
                <w:numId w:val="30"/>
              </w:numPr>
              <w:spacing w:after="0" w:line="240" w:lineRule="auto"/>
            </w:pPr>
            <w:r>
              <w:t>HLA-DQ8 (</w:t>
            </w:r>
            <w:proofErr w:type="spellStart"/>
            <w:r>
              <w:t>Sens</w:t>
            </w:r>
            <w:proofErr w:type="spellEnd"/>
            <w:r>
              <w:t xml:space="preserve"> 12%, spec 80%)</w:t>
            </w:r>
          </w:p>
          <w:p w:rsidR="00063007" w:rsidRDefault="008A1F65" w:rsidP="00063007">
            <w:pPr>
              <w:numPr>
                <w:ilvl w:val="0"/>
                <w:numId w:val="30"/>
              </w:numPr>
              <w:spacing w:after="0" w:line="240" w:lineRule="auto"/>
            </w:pPr>
            <w:r>
              <w:t>Other factors</w:t>
            </w:r>
          </w:p>
          <w:p w:rsidR="00063007" w:rsidRDefault="008A1F65" w:rsidP="00063007">
            <w:pPr>
              <w:numPr>
                <w:ilvl w:val="1"/>
                <w:numId w:val="30"/>
              </w:numPr>
              <w:spacing w:after="0" w:line="240" w:lineRule="auto"/>
            </w:pPr>
            <w:r>
              <w:t>Possible early viral trigger</w:t>
            </w:r>
            <w:r w:rsidR="00080AB6">
              <w:t xml:space="preserve"> – potentially rotavirus or intestinal adenovirus</w:t>
            </w:r>
          </w:p>
          <w:p w:rsidR="00063007" w:rsidRDefault="00376F4B" w:rsidP="00063007">
            <w:pPr>
              <w:numPr>
                <w:ilvl w:val="1"/>
                <w:numId w:val="30"/>
              </w:numPr>
              <w:spacing w:after="0" w:line="240" w:lineRule="auto"/>
            </w:pPr>
            <w:r>
              <w:t>Some evidence suggests exposure to grains in first 3 months of life increases risk</w:t>
            </w:r>
          </w:p>
          <w:p w:rsidR="00376F4B" w:rsidRDefault="00376F4B" w:rsidP="00063007">
            <w:pPr>
              <w:numPr>
                <w:ilvl w:val="1"/>
                <w:numId w:val="30"/>
              </w:numPr>
              <w:spacing w:after="0" w:line="240" w:lineRule="auto"/>
            </w:pPr>
            <w:r>
              <w:t>Prolonged breast-feeding may reduce the risk of childhood coeliac</w:t>
            </w:r>
          </w:p>
          <w:p w:rsidR="0076488A" w:rsidRDefault="0009734F" w:rsidP="0009734F">
            <w:pPr>
              <w:numPr>
                <w:ilvl w:val="0"/>
                <w:numId w:val="30"/>
              </w:numPr>
              <w:spacing w:after="0" w:line="240" w:lineRule="auto"/>
            </w:pPr>
            <w:r>
              <w:t>Association with other autoimmune conditions such as type 1 diabetes</w:t>
            </w:r>
            <w:r w:rsidR="009545F7">
              <w:t>, primary biliary cirrhosis</w:t>
            </w:r>
            <w:r>
              <w:t xml:space="preserve"> and autoimmune thyroid disease</w:t>
            </w:r>
            <w:r w:rsidR="00A15082">
              <w:t xml:space="preserve"> (both hyper and hypothyroidism)</w:t>
            </w:r>
            <w:r>
              <w:t>.</w:t>
            </w:r>
          </w:p>
          <w:p w:rsidR="005F63AE" w:rsidRPr="003653CE" w:rsidRDefault="005F63AE" w:rsidP="00376F4B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984DCE" w:rsidRPr="004878CB" w:rsidTr="005F63AE">
        <w:trPr>
          <w:trHeight w:val="569"/>
        </w:trPr>
        <w:tc>
          <w:tcPr>
            <w:tcW w:w="9922" w:type="dxa"/>
            <w:shd w:val="clear" w:color="auto" w:fill="auto"/>
            <w:vAlign w:val="center"/>
          </w:tcPr>
          <w:p w:rsidR="00984DCE" w:rsidRDefault="00984DCE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984DCE" w:rsidRDefault="0076488A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Presentations of coeliac disease</w:t>
            </w:r>
            <w:r w:rsidR="00984DCE">
              <w:rPr>
                <w:b/>
              </w:rPr>
              <w:t>:</w:t>
            </w:r>
          </w:p>
          <w:p w:rsidR="0076488A" w:rsidRPr="0076488A" w:rsidRDefault="0076488A" w:rsidP="0076488A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b/>
              </w:rPr>
            </w:pPr>
            <w:r>
              <w:t>History</w:t>
            </w:r>
          </w:p>
          <w:p w:rsidR="0076488A" w:rsidRDefault="0076488A" w:rsidP="0076488A">
            <w:pPr>
              <w:numPr>
                <w:ilvl w:val="0"/>
                <w:numId w:val="42"/>
              </w:numPr>
              <w:spacing w:after="0" w:line="240" w:lineRule="auto"/>
              <w:contextualSpacing/>
            </w:pPr>
            <w:r>
              <w:t>Asymptomatic (up to 1/3 cases)</w:t>
            </w:r>
          </w:p>
          <w:p w:rsidR="0076488A" w:rsidRDefault="0076488A" w:rsidP="0076488A">
            <w:pPr>
              <w:numPr>
                <w:ilvl w:val="0"/>
                <w:numId w:val="42"/>
              </w:numPr>
              <w:spacing w:after="0" w:line="240" w:lineRule="auto"/>
              <w:contextualSpacing/>
            </w:pPr>
            <w:r>
              <w:t>Fatigue and malaise</w:t>
            </w:r>
          </w:p>
          <w:p w:rsidR="0076488A" w:rsidRDefault="0076488A" w:rsidP="0076488A">
            <w:pPr>
              <w:numPr>
                <w:ilvl w:val="0"/>
                <w:numId w:val="42"/>
              </w:numPr>
              <w:spacing w:after="0" w:line="240" w:lineRule="auto"/>
              <w:contextualSpacing/>
            </w:pPr>
            <w:r>
              <w:t>Abdominal pain and bloating</w:t>
            </w:r>
          </w:p>
          <w:p w:rsidR="0076488A" w:rsidRDefault="0076488A" w:rsidP="0076488A">
            <w:pPr>
              <w:numPr>
                <w:ilvl w:val="0"/>
                <w:numId w:val="42"/>
              </w:numPr>
              <w:spacing w:after="0" w:line="240" w:lineRule="auto"/>
              <w:contextualSpacing/>
            </w:pPr>
            <w:r>
              <w:t>Diarrhoea</w:t>
            </w:r>
          </w:p>
          <w:p w:rsidR="0076488A" w:rsidRDefault="0076488A" w:rsidP="0076488A">
            <w:pPr>
              <w:numPr>
                <w:ilvl w:val="0"/>
                <w:numId w:val="42"/>
              </w:numPr>
              <w:spacing w:after="0" w:line="240" w:lineRule="auto"/>
              <w:contextualSpacing/>
            </w:pPr>
            <w:proofErr w:type="spellStart"/>
            <w:r>
              <w:t>Steatorrh</w:t>
            </w:r>
            <w:r w:rsidR="00F261D8">
              <w:t>o</w:t>
            </w:r>
            <w:r>
              <w:t>ea</w:t>
            </w:r>
            <w:proofErr w:type="spellEnd"/>
          </w:p>
          <w:p w:rsidR="0076488A" w:rsidRDefault="0076488A" w:rsidP="0076488A">
            <w:pPr>
              <w:numPr>
                <w:ilvl w:val="0"/>
                <w:numId w:val="42"/>
              </w:numPr>
              <w:spacing w:after="0" w:line="240" w:lineRule="auto"/>
              <w:contextualSpacing/>
            </w:pPr>
            <w:r>
              <w:t>Nausea/vomiting</w:t>
            </w:r>
          </w:p>
          <w:p w:rsidR="0076488A" w:rsidRDefault="0076488A" w:rsidP="0076488A">
            <w:pPr>
              <w:numPr>
                <w:ilvl w:val="0"/>
                <w:numId w:val="42"/>
              </w:numPr>
              <w:spacing w:after="0" w:line="240" w:lineRule="auto"/>
              <w:contextualSpacing/>
            </w:pPr>
            <w:r>
              <w:t>Weight loss and failure to thrive (children especially)</w:t>
            </w:r>
          </w:p>
          <w:p w:rsidR="0076488A" w:rsidRDefault="0076488A" w:rsidP="0076488A">
            <w:pPr>
              <w:numPr>
                <w:ilvl w:val="0"/>
                <w:numId w:val="42"/>
              </w:numPr>
              <w:spacing w:after="0" w:line="240" w:lineRule="auto"/>
              <w:contextualSpacing/>
            </w:pPr>
            <w:r>
              <w:t>Lactose intolerance (can develop secondarily with chronic disease)</w:t>
            </w:r>
          </w:p>
          <w:p w:rsidR="009545F7" w:rsidRDefault="00BF32CA" w:rsidP="0076488A">
            <w:pPr>
              <w:numPr>
                <w:ilvl w:val="0"/>
                <w:numId w:val="42"/>
              </w:numPr>
              <w:spacing w:after="0" w:line="240" w:lineRule="auto"/>
              <w:contextualSpacing/>
            </w:pPr>
            <w:r>
              <w:t>Subfertility and recurrent miscarriages</w:t>
            </w:r>
          </w:p>
          <w:p w:rsidR="0076488A" w:rsidRPr="0076488A" w:rsidRDefault="0076488A" w:rsidP="0076488A">
            <w:pPr>
              <w:spacing w:after="0" w:line="240" w:lineRule="auto"/>
              <w:ind w:left="1440"/>
              <w:contextualSpacing/>
            </w:pPr>
          </w:p>
          <w:p w:rsidR="0076488A" w:rsidRDefault="0009734F" w:rsidP="0076488A">
            <w:pPr>
              <w:numPr>
                <w:ilvl w:val="0"/>
                <w:numId w:val="7"/>
              </w:numPr>
              <w:spacing w:after="0" w:line="240" w:lineRule="auto"/>
            </w:pPr>
            <w:r>
              <w:t>Examination</w:t>
            </w:r>
          </w:p>
          <w:p w:rsidR="0076488A" w:rsidRDefault="0076488A" w:rsidP="0076488A">
            <w:pPr>
              <w:numPr>
                <w:ilvl w:val="1"/>
                <w:numId w:val="7"/>
              </w:numPr>
              <w:spacing w:after="0" w:line="240" w:lineRule="auto"/>
            </w:pPr>
            <w:r>
              <w:t>Anaemia</w:t>
            </w:r>
          </w:p>
          <w:p w:rsidR="009545F7" w:rsidRDefault="009545F7" w:rsidP="0076488A">
            <w:pPr>
              <w:numPr>
                <w:ilvl w:val="1"/>
                <w:numId w:val="7"/>
              </w:numPr>
              <w:spacing w:after="0" w:line="240" w:lineRule="auto"/>
            </w:pPr>
            <w:r>
              <w:t>Angular stomatitis</w:t>
            </w:r>
          </w:p>
          <w:p w:rsidR="0076488A" w:rsidRDefault="009545F7" w:rsidP="0076488A">
            <w:pPr>
              <w:numPr>
                <w:ilvl w:val="1"/>
                <w:numId w:val="7"/>
              </w:numPr>
              <w:spacing w:after="0" w:line="240" w:lineRule="auto"/>
            </w:pPr>
            <w:r>
              <w:t>Mouth ulcers</w:t>
            </w:r>
          </w:p>
          <w:p w:rsidR="009545F7" w:rsidRDefault="009545F7" w:rsidP="009545F7">
            <w:pPr>
              <w:numPr>
                <w:ilvl w:val="1"/>
                <w:numId w:val="7"/>
              </w:numPr>
              <w:spacing w:after="0" w:line="240" w:lineRule="auto"/>
            </w:pPr>
            <w:r>
              <w:t xml:space="preserve">Dermatitis </w:t>
            </w:r>
            <w:proofErr w:type="spellStart"/>
            <w:r>
              <w:t>herpetiformis</w:t>
            </w:r>
            <w:proofErr w:type="spellEnd"/>
          </w:p>
          <w:p w:rsidR="0076488A" w:rsidRDefault="009545F7" w:rsidP="009545F7">
            <w:pPr>
              <w:numPr>
                <w:ilvl w:val="2"/>
                <w:numId w:val="7"/>
              </w:numPr>
              <w:spacing w:after="0" w:line="240" w:lineRule="auto"/>
            </w:pPr>
            <w:r>
              <w:t xml:space="preserve">Blistering  </w:t>
            </w:r>
            <w:proofErr w:type="spellStart"/>
            <w:r>
              <w:t>subdermal</w:t>
            </w:r>
            <w:proofErr w:type="spellEnd"/>
            <w:r>
              <w:t xml:space="preserve"> eruption associated with coeliac disease, usually very itchy</w:t>
            </w:r>
          </w:p>
          <w:p w:rsidR="00984DCE" w:rsidRPr="00984DCE" w:rsidRDefault="00984DCE" w:rsidP="009545F7">
            <w:pPr>
              <w:spacing w:after="0" w:line="240" w:lineRule="auto"/>
            </w:pPr>
          </w:p>
        </w:tc>
      </w:tr>
    </w:tbl>
    <w:p w:rsidR="00DA5938" w:rsidRDefault="00DA5938" w:rsidP="00DA5938">
      <w:pPr>
        <w:spacing w:after="0"/>
      </w:pPr>
    </w:p>
    <w:p w:rsidR="00F261D8" w:rsidRPr="00DA5938" w:rsidRDefault="00F261D8" w:rsidP="00DA5938">
      <w:pPr>
        <w:spacing w:after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F261D8" w:rsidRPr="004878CB" w:rsidTr="00984DCE">
        <w:trPr>
          <w:trHeight w:val="724"/>
        </w:trPr>
        <w:tc>
          <w:tcPr>
            <w:tcW w:w="9922" w:type="dxa"/>
            <w:shd w:val="clear" w:color="auto" w:fill="auto"/>
            <w:vAlign w:val="center"/>
          </w:tcPr>
          <w:p w:rsidR="00F261D8" w:rsidRDefault="00F261D8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F261D8" w:rsidRDefault="00F261D8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Differential diagnosis of coeliac disease:</w:t>
            </w:r>
          </w:p>
          <w:p w:rsidR="00F261D8" w:rsidRPr="009545F7" w:rsidRDefault="00F261D8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Irritable bowel syndrome (IBS)</w:t>
            </w:r>
          </w:p>
          <w:p w:rsidR="00F261D8" w:rsidRPr="009545F7" w:rsidRDefault="00F261D8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Inflammatory bowel disease (IBD)</w:t>
            </w:r>
          </w:p>
          <w:p w:rsidR="00F261D8" w:rsidRPr="00A76556" w:rsidRDefault="00F261D8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Chronic infective gastroenteritis e.g. Giardiasis</w:t>
            </w:r>
          </w:p>
          <w:p w:rsidR="00F261D8" w:rsidRPr="00B30D14" w:rsidRDefault="00F261D8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Lactose intolerance</w:t>
            </w:r>
          </w:p>
          <w:p w:rsidR="00F261D8" w:rsidRPr="00B30D14" w:rsidRDefault="00F261D8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 xml:space="preserve">HIV </w:t>
            </w:r>
            <w:proofErr w:type="spellStart"/>
            <w:r>
              <w:t>enteropathy</w:t>
            </w:r>
            <w:proofErr w:type="spellEnd"/>
          </w:p>
          <w:p w:rsidR="00F261D8" w:rsidRPr="00984DCE" w:rsidRDefault="00F261D8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Bacterial overgrowth</w:t>
            </w:r>
          </w:p>
          <w:p w:rsidR="00F261D8" w:rsidRPr="008B2623" w:rsidRDefault="00F261D8" w:rsidP="00984DCE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F261D8" w:rsidRPr="004878CB" w:rsidTr="005F63AE">
        <w:tc>
          <w:tcPr>
            <w:tcW w:w="9922" w:type="dxa"/>
            <w:shd w:val="clear" w:color="auto" w:fill="auto"/>
            <w:vAlign w:val="center"/>
          </w:tcPr>
          <w:p w:rsidR="00F261D8" w:rsidRDefault="00F261D8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F261D8" w:rsidRDefault="00F261D8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Investigations and diagnosis of coeliac disease:</w:t>
            </w:r>
          </w:p>
          <w:p w:rsidR="00F261D8" w:rsidRDefault="00F261D8" w:rsidP="00A15082">
            <w:pPr>
              <w:numPr>
                <w:ilvl w:val="0"/>
                <w:numId w:val="43"/>
              </w:numPr>
              <w:spacing w:after="0" w:line="240" w:lineRule="auto"/>
            </w:pPr>
            <w:r>
              <w:t>Blood tests</w:t>
            </w:r>
          </w:p>
          <w:p w:rsidR="00F261D8" w:rsidRDefault="00F261D8" w:rsidP="00A15082">
            <w:pPr>
              <w:numPr>
                <w:ilvl w:val="1"/>
                <w:numId w:val="43"/>
              </w:numPr>
              <w:spacing w:after="0" w:line="240" w:lineRule="auto"/>
            </w:pPr>
            <w:r>
              <w:t>Full blood count: anaemia – can be microcytic due to iron deficiency; macrocytic due to folate and/or vitamin B12 malabsorption; or a mixed picture.</w:t>
            </w:r>
          </w:p>
          <w:p w:rsidR="00F261D8" w:rsidRDefault="00F261D8" w:rsidP="00A15082">
            <w:pPr>
              <w:numPr>
                <w:ilvl w:val="1"/>
                <w:numId w:val="43"/>
              </w:numPr>
              <w:spacing w:after="0" w:line="240" w:lineRule="auto"/>
            </w:pPr>
            <w:r>
              <w:t>Haematinics (i.e. folate, vitamin B12, ferritin, total iron levels)</w:t>
            </w:r>
          </w:p>
          <w:p w:rsidR="00F261D8" w:rsidRDefault="00F261D8" w:rsidP="00A15082">
            <w:pPr>
              <w:numPr>
                <w:ilvl w:val="1"/>
                <w:numId w:val="43"/>
              </w:numPr>
              <w:spacing w:after="0" w:line="240" w:lineRule="auto"/>
            </w:pPr>
            <w:r>
              <w:t>Low calcium and vitamin D levels with compensatory secondary hyperparathyroidism</w:t>
            </w:r>
          </w:p>
          <w:p w:rsidR="00F261D8" w:rsidRDefault="00F261D8" w:rsidP="00A15082">
            <w:pPr>
              <w:numPr>
                <w:ilvl w:val="1"/>
                <w:numId w:val="43"/>
              </w:numPr>
              <w:spacing w:after="0" w:line="240" w:lineRule="auto"/>
            </w:pPr>
            <w:r>
              <w:t>Liver function tests – these can be abnormal and thought to be due to a non-specific hepatitis</w:t>
            </w:r>
          </w:p>
          <w:p w:rsidR="00F261D8" w:rsidRDefault="00F261D8" w:rsidP="00A15082">
            <w:pPr>
              <w:numPr>
                <w:ilvl w:val="0"/>
                <w:numId w:val="43"/>
              </w:numPr>
              <w:spacing w:after="0" w:line="240" w:lineRule="auto"/>
            </w:pPr>
            <w:r>
              <w:t>Anti-</w:t>
            </w:r>
            <w:proofErr w:type="spellStart"/>
            <w:r>
              <w:t>endomysial</w:t>
            </w:r>
            <w:proofErr w:type="spellEnd"/>
            <w:r>
              <w:t xml:space="preserve"> and anti- tissue </w:t>
            </w:r>
            <w:proofErr w:type="spellStart"/>
            <w:r>
              <w:t>transglutaminase</w:t>
            </w:r>
            <w:proofErr w:type="spellEnd"/>
            <w:r>
              <w:t xml:space="preserve"> antibodies  (TTG Ab)</w:t>
            </w:r>
          </w:p>
          <w:p w:rsidR="00F261D8" w:rsidRDefault="00F261D8" w:rsidP="00A15082">
            <w:pPr>
              <w:numPr>
                <w:ilvl w:val="1"/>
                <w:numId w:val="43"/>
              </w:numPr>
              <w:spacing w:after="0" w:line="240" w:lineRule="auto"/>
            </w:pPr>
            <w:r>
              <w:t>Both very sensitive and specific (</w:t>
            </w:r>
            <w:proofErr w:type="spellStart"/>
            <w:r>
              <w:t>sens</w:t>
            </w:r>
            <w:proofErr w:type="spellEnd"/>
            <w:r>
              <w:t xml:space="preserve"> 99%, spec &gt;90%)</w:t>
            </w:r>
          </w:p>
          <w:p w:rsidR="00F261D8" w:rsidRDefault="00F261D8" w:rsidP="00A15082">
            <w:pPr>
              <w:numPr>
                <w:ilvl w:val="1"/>
                <w:numId w:val="43"/>
              </w:numPr>
              <w:spacing w:after="0" w:line="240" w:lineRule="auto"/>
            </w:pPr>
            <w:r>
              <w:t xml:space="preserve">Do TTG (IgA) first as it is simpler, if equivocal result then do </w:t>
            </w:r>
            <w:proofErr w:type="spellStart"/>
            <w:r>
              <w:t>antiendomysial</w:t>
            </w:r>
            <w:proofErr w:type="spellEnd"/>
            <w:r>
              <w:t xml:space="preserve"> (IgA)</w:t>
            </w:r>
          </w:p>
          <w:p w:rsidR="00F261D8" w:rsidRDefault="00F261D8" w:rsidP="00A15082">
            <w:pPr>
              <w:numPr>
                <w:ilvl w:val="2"/>
                <w:numId w:val="43"/>
              </w:numPr>
              <w:spacing w:after="0" w:line="240" w:lineRule="auto"/>
            </w:pPr>
            <w:r>
              <w:t xml:space="preserve">10% </w:t>
            </w:r>
            <w:proofErr w:type="spellStart"/>
            <w:r>
              <w:t>coeliacs</w:t>
            </w:r>
            <w:proofErr w:type="spellEnd"/>
            <w:r>
              <w:t xml:space="preserve"> are IgA deficient so check this as well</w:t>
            </w:r>
          </w:p>
          <w:p w:rsidR="00F261D8" w:rsidRPr="009C4B13" w:rsidRDefault="00F261D8" w:rsidP="00A15082">
            <w:pPr>
              <w:numPr>
                <w:ilvl w:val="0"/>
                <w:numId w:val="43"/>
              </w:numPr>
              <w:spacing w:after="0" w:line="240" w:lineRule="auto"/>
            </w:pPr>
            <w:r w:rsidRPr="009C4B13">
              <w:t>Duodenal/</w:t>
            </w:r>
            <w:proofErr w:type="spellStart"/>
            <w:r w:rsidRPr="009C4B13">
              <w:t>jejunal</w:t>
            </w:r>
            <w:proofErr w:type="spellEnd"/>
            <w:r w:rsidRPr="009C4B13">
              <w:t xml:space="preserve"> biopsy – gold standard of diagnosis</w:t>
            </w:r>
          </w:p>
          <w:p w:rsidR="00F261D8" w:rsidRDefault="00F261D8" w:rsidP="00A15082">
            <w:pPr>
              <w:numPr>
                <w:ilvl w:val="1"/>
                <w:numId w:val="43"/>
              </w:numPr>
              <w:spacing w:after="0" w:line="240" w:lineRule="auto"/>
            </w:pPr>
            <w:r>
              <w:t xml:space="preserve">Duodenal biopsy as good as </w:t>
            </w:r>
            <w:proofErr w:type="spellStart"/>
            <w:r>
              <w:t>jejunal</w:t>
            </w:r>
            <w:proofErr w:type="spellEnd"/>
            <w:r>
              <w:t xml:space="preserve"> as long as ≥ 4 biopsies taken</w:t>
            </w:r>
          </w:p>
          <w:p w:rsidR="00F261D8" w:rsidRDefault="00F261D8" w:rsidP="00A15082">
            <w:pPr>
              <w:numPr>
                <w:ilvl w:val="1"/>
                <w:numId w:val="43"/>
              </w:numPr>
              <w:spacing w:after="0" w:line="240" w:lineRule="auto"/>
            </w:pPr>
            <w:r>
              <w:t>Subtotal villous atrophy; crypt hyperplasia; intra-epithelial lymphocytosis</w:t>
            </w:r>
          </w:p>
          <w:p w:rsidR="00F261D8" w:rsidRDefault="00F261D8" w:rsidP="00A15082">
            <w:pPr>
              <w:numPr>
                <w:ilvl w:val="1"/>
                <w:numId w:val="43"/>
              </w:numPr>
              <w:spacing w:after="0" w:line="240" w:lineRule="auto"/>
            </w:pPr>
            <w:r w:rsidRPr="00CB5803">
              <w:t>M</w:t>
            </w:r>
            <w:r>
              <w:t>odified M</w:t>
            </w:r>
            <w:r w:rsidRPr="00CB5803">
              <w:t>arsh criteria</w:t>
            </w:r>
          </w:p>
          <w:p w:rsidR="00F261D8" w:rsidRDefault="00F261D8" w:rsidP="00A15082">
            <w:pPr>
              <w:numPr>
                <w:ilvl w:val="2"/>
                <w:numId w:val="43"/>
              </w:numPr>
              <w:spacing w:after="0" w:line="240" w:lineRule="auto"/>
            </w:pPr>
            <w:r>
              <w:t>Five stages from 0 (normal mucosa) to 3c (crypt hyperplasia and total villous atrophy)</w:t>
            </w:r>
          </w:p>
          <w:p w:rsidR="00F261D8" w:rsidRDefault="00F261D8" w:rsidP="00A15082">
            <w:pPr>
              <w:numPr>
                <w:ilvl w:val="0"/>
                <w:numId w:val="43"/>
              </w:numPr>
              <w:spacing w:after="0" w:line="240" w:lineRule="auto"/>
            </w:pPr>
            <w:r>
              <w:t>DEXA scanning</w:t>
            </w:r>
          </w:p>
          <w:p w:rsidR="00F261D8" w:rsidRPr="005F63AE" w:rsidRDefault="00F261D8" w:rsidP="00A15082">
            <w:pPr>
              <w:numPr>
                <w:ilvl w:val="1"/>
                <w:numId w:val="43"/>
              </w:numPr>
              <w:spacing w:after="0" w:line="240" w:lineRule="auto"/>
              <w:contextualSpacing/>
            </w:pPr>
            <w:r>
              <w:t>Should be done in all patients as calcium and vitamin D malabsorption can lead to osteopenia</w:t>
            </w:r>
          </w:p>
          <w:p w:rsidR="00F261D8" w:rsidRPr="004878CB" w:rsidRDefault="00F261D8" w:rsidP="00984DCE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F261D8" w:rsidRPr="004878CB" w:rsidTr="00984DCE">
        <w:trPr>
          <w:trHeight w:val="1267"/>
        </w:trPr>
        <w:tc>
          <w:tcPr>
            <w:tcW w:w="9922" w:type="dxa"/>
            <w:shd w:val="clear" w:color="auto" w:fill="auto"/>
            <w:vAlign w:val="center"/>
          </w:tcPr>
          <w:p w:rsidR="00F261D8" w:rsidRDefault="00F261D8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F261D8" w:rsidRDefault="00F261D8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Management of coeliac disease:</w:t>
            </w:r>
          </w:p>
          <w:p w:rsidR="00F261D8" w:rsidRDefault="00F261D8" w:rsidP="00BF32CA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Total adherence to gluten-free diet </w:t>
            </w:r>
          </w:p>
          <w:p w:rsidR="00F261D8" w:rsidRDefault="00F261D8" w:rsidP="00B22F18">
            <w:pPr>
              <w:numPr>
                <w:ilvl w:val="1"/>
                <w:numId w:val="12"/>
              </w:numPr>
              <w:spacing w:after="0" w:line="240" w:lineRule="auto"/>
            </w:pPr>
            <w:r>
              <w:t>Found in wheat, barley and rye and oats</w:t>
            </w:r>
          </w:p>
          <w:p w:rsidR="00F261D8" w:rsidRDefault="00F261D8" w:rsidP="00B22F18">
            <w:pPr>
              <w:numPr>
                <w:ilvl w:val="1"/>
                <w:numId w:val="12"/>
              </w:numPr>
              <w:spacing w:after="0" w:line="240" w:lineRule="auto"/>
            </w:pPr>
            <w:r>
              <w:t>Symptoms and microscopic gut changes should resolve with gluten-free diet</w:t>
            </w:r>
          </w:p>
          <w:p w:rsidR="00F261D8" w:rsidRDefault="00F261D8" w:rsidP="00B22F18">
            <w:pPr>
              <w:numPr>
                <w:ilvl w:val="1"/>
                <w:numId w:val="12"/>
              </w:numPr>
              <w:spacing w:after="0" w:line="240" w:lineRule="auto"/>
            </w:pPr>
            <w:r>
              <w:t>Dietician involvement is usually very helpful as are patient support groups and networks</w:t>
            </w:r>
          </w:p>
          <w:p w:rsidR="00F261D8" w:rsidRDefault="00F261D8" w:rsidP="00B22F18">
            <w:pPr>
              <w:numPr>
                <w:ilvl w:val="0"/>
                <w:numId w:val="12"/>
              </w:numPr>
              <w:spacing w:after="0" w:line="240" w:lineRule="auto"/>
            </w:pPr>
            <w:r>
              <w:t>Iron, calcium, folate and vitamin B12 supplementation</w:t>
            </w:r>
          </w:p>
          <w:p w:rsidR="00F261D8" w:rsidRDefault="00F261D8" w:rsidP="00B22F18">
            <w:pPr>
              <w:numPr>
                <w:ilvl w:val="0"/>
                <w:numId w:val="12"/>
              </w:numPr>
              <w:spacing w:after="0" w:line="240" w:lineRule="auto"/>
            </w:pPr>
            <w:proofErr w:type="spellStart"/>
            <w:r>
              <w:t>Dapsone</w:t>
            </w:r>
            <w:proofErr w:type="spellEnd"/>
            <w:r>
              <w:t xml:space="preserve"> 50-100mg once daily can improve dermatitis </w:t>
            </w:r>
            <w:proofErr w:type="spellStart"/>
            <w:r>
              <w:t>herpetiformis</w:t>
            </w:r>
            <w:proofErr w:type="spellEnd"/>
            <w:r>
              <w:t xml:space="preserve"> although this will also improve with a gluten-free diet.</w:t>
            </w:r>
          </w:p>
          <w:p w:rsidR="00F261D8" w:rsidRPr="008D3CD4" w:rsidRDefault="00F261D8" w:rsidP="008D3CD4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>
              <w:t xml:space="preserve">5-yearly pneumococcal vaccination is recommended due to </w:t>
            </w:r>
            <w:proofErr w:type="spellStart"/>
            <w:r>
              <w:t>hyposplenism</w:t>
            </w:r>
            <w:proofErr w:type="spellEnd"/>
          </w:p>
          <w:p w:rsidR="00F261D8" w:rsidRPr="00881A30" w:rsidRDefault="00F261D8" w:rsidP="00984DCE">
            <w:pPr>
              <w:spacing w:after="0" w:line="240" w:lineRule="auto"/>
              <w:ind w:left="720"/>
              <w:contextualSpacing/>
            </w:pPr>
          </w:p>
        </w:tc>
      </w:tr>
    </w:tbl>
    <w:p w:rsidR="00F261D8" w:rsidRPr="00DA5938" w:rsidRDefault="00F261D8" w:rsidP="00DA5938">
      <w:pPr>
        <w:spacing w:after="0"/>
      </w:pPr>
    </w:p>
    <w:p w:rsidR="00F261D8" w:rsidRPr="00DA5938" w:rsidRDefault="00F261D8" w:rsidP="00DA5938">
      <w:pPr>
        <w:spacing w:after="0"/>
      </w:pPr>
    </w:p>
    <w:p w:rsidR="00F261D8" w:rsidRPr="00DA5938" w:rsidRDefault="00F261D8" w:rsidP="00DA5938">
      <w:pPr>
        <w:spacing w:after="0"/>
      </w:pPr>
    </w:p>
    <w:p w:rsidR="00F261D8" w:rsidRPr="00DA5938" w:rsidRDefault="00F261D8" w:rsidP="00DA5938">
      <w:pPr>
        <w:spacing w:after="0"/>
      </w:pPr>
    </w:p>
    <w:p w:rsidR="00F261D8" w:rsidRPr="00DA5938" w:rsidRDefault="00F261D8" w:rsidP="00DA5938">
      <w:pPr>
        <w:spacing w:after="0"/>
      </w:pPr>
    </w:p>
    <w:p w:rsidR="00F261D8" w:rsidRPr="00DA5938" w:rsidRDefault="00F261D8" w:rsidP="00DA5938">
      <w:pPr>
        <w:spacing w:after="0"/>
      </w:pPr>
    </w:p>
    <w:p w:rsidR="00F261D8" w:rsidRPr="00DA5938" w:rsidRDefault="00F261D8" w:rsidP="00DA5938">
      <w:pPr>
        <w:spacing w:after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F261D8" w:rsidRPr="004878CB" w:rsidTr="005F63AE">
        <w:trPr>
          <w:trHeight w:val="982"/>
        </w:trPr>
        <w:tc>
          <w:tcPr>
            <w:tcW w:w="9922" w:type="dxa"/>
            <w:shd w:val="clear" w:color="auto" w:fill="auto"/>
            <w:vAlign w:val="center"/>
          </w:tcPr>
          <w:p w:rsidR="00F261D8" w:rsidRDefault="00F261D8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F261D8" w:rsidRDefault="00F261D8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Complications of coeliac disease:</w:t>
            </w:r>
          </w:p>
          <w:p w:rsidR="00F261D8" w:rsidRDefault="00F261D8" w:rsidP="00106FD6">
            <w:pPr>
              <w:numPr>
                <w:ilvl w:val="0"/>
                <w:numId w:val="46"/>
              </w:numPr>
              <w:spacing w:after="0" w:line="240" w:lineRule="auto"/>
            </w:pPr>
            <w:r>
              <w:t>Failure to improve despite gluten-free diet</w:t>
            </w:r>
          </w:p>
          <w:p w:rsidR="00F261D8" w:rsidRDefault="00F261D8" w:rsidP="00106FD6">
            <w:pPr>
              <w:numPr>
                <w:ilvl w:val="1"/>
                <w:numId w:val="45"/>
              </w:numPr>
              <w:spacing w:after="0" w:line="240" w:lineRule="auto"/>
            </w:pPr>
            <w:r>
              <w:t>Only 10% of those who report non-responsive disease will have true refractory coeliac disease.</w:t>
            </w:r>
          </w:p>
          <w:p w:rsidR="00F261D8" w:rsidRDefault="00F261D8" w:rsidP="00123167">
            <w:pPr>
              <w:numPr>
                <w:ilvl w:val="1"/>
                <w:numId w:val="45"/>
              </w:numPr>
              <w:spacing w:after="0" w:line="240" w:lineRule="auto"/>
            </w:pPr>
            <w:r>
              <w:t>Check compliance. Re-test antibodies if compliance is unsure.</w:t>
            </w:r>
          </w:p>
          <w:p w:rsidR="00F261D8" w:rsidRDefault="00F261D8" w:rsidP="00106FD6">
            <w:pPr>
              <w:numPr>
                <w:ilvl w:val="0"/>
                <w:numId w:val="46"/>
              </w:numPr>
              <w:spacing w:after="0" w:line="240" w:lineRule="auto"/>
            </w:pPr>
            <w:proofErr w:type="spellStart"/>
            <w:r>
              <w:t>Enteropathy</w:t>
            </w:r>
            <w:proofErr w:type="spellEnd"/>
            <w:r>
              <w:t>-Associated T-Cell Lymphoma (EATCL)</w:t>
            </w:r>
          </w:p>
          <w:p w:rsidR="00F261D8" w:rsidRDefault="00F261D8" w:rsidP="00106FD6">
            <w:pPr>
              <w:numPr>
                <w:ilvl w:val="0"/>
                <w:numId w:val="46"/>
              </w:numPr>
              <w:spacing w:after="0" w:line="240" w:lineRule="auto"/>
            </w:pPr>
            <w:r>
              <w:t>The risk of all gastrointestinal malignancies, and in particular oesophageal, is slightly increased (but incidence decreased by gluten-free diet)</w:t>
            </w:r>
          </w:p>
          <w:p w:rsidR="00F261D8" w:rsidRDefault="00F261D8" w:rsidP="00106FD6">
            <w:pPr>
              <w:numPr>
                <w:ilvl w:val="0"/>
                <w:numId w:val="46"/>
              </w:numPr>
              <w:spacing w:after="0" w:line="240" w:lineRule="auto"/>
            </w:pPr>
            <w:r>
              <w:t xml:space="preserve">Dermatitis </w:t>
            </w:r>
            <w:proofErr w:type="spellStart"/>
            <w:r>
              <w:t>herpetiformis</w:t>
            </w:r>
            <w:proofErr w:type="spellEnd"/>
          </w:p>
          <w:p w:rsidR="00F261D8" w:rsidRDefault="00F261D8" w:rsidP="00106FD6">
            <w:pPr>
              <w:numPr>
                <w:ilvl w:val="0"/>
                <w:numId w:val="46"/>
              </w:numPr>
              <w:spacing w:after="0" w:line="240" w:lineRule="auto"/>
            </w:pPr>
            <w:r>
              <w:t>Osteopenia and osteoporosis</w:t>
            </w:r>
          </w:p>
          <w:p w:rsidR="00F261D8" w:rsidRDefault="00F261D8" w:rsidP="00106FD6">
            <w:pPr>
              <w:numPr>
                <w:ilvl w:val="0"/>
                <w:numId w:val="46"/>
              </w:numPr>
              <w:spacing w:after="0" w:line="240" w:lineRule="auto"/>
            </w:pPr>
            <w:proofErr w:type="spellStart"/>
            <w:r>
              <w:t>Hyposplenism</w:t>
            </w:r>
            <w:proofErr w:type="spellEnd"/>
          </w:p>
          <w:p w:rsidR="00F261D8" w:rsidRDefault="00F261D8" w:rsidP="00F261D8">
            <w:pPr>
              <w:numPr>
                <w:ilvl w:val="1"/>
                <w:numId w:val="46"/>
              </w:numPr>
              <w:spacing w:after="0" w:line="240" w:lineRule="auto"/>
            </w:pPr>
            <w:r>
              <w:t>Occurs in approx. 1/3 cases. Can predispose to infection (especially encapsulated bacteria)</w:t>
            </w:r>
          </w:p>
          <w:p w:rsidR="00F261D8" w:rsidRDefault="00F261D8" w:rsidP="00106FD6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>
              <w:t>Lactose intolerance</w:t>
            </w:r>
          </w:p>
          <w:p w:rsidR="00F261D8" w:rsidRDefault="00F261D8" w:rsidP="00106FD6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>
              <w:t>Bacterial overgrowth</w:t>
            </w:r>
          </w:p>
          <w:p w:rsidR="00F261D8" w:rsidRDefault="00F261D8" w:rsidP="00106FD6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>
              <w:t>Pancreatic insufficiency</w:t>
            </w:r>
          </w:p>
          <w:p w:rsidR="00F261D8" w:rsidRPr="00984DCE" w:rsidRDefault="00F261D8" w:rsidP="00F261D8">
            <w:pPr>
              <w:spacing w:after="0" w:line="240" w:lineRule="auto"/>
              <w:ind w:left="720"/>
              <w:contextualSpacing/>
            </w:pPr>
          </w:p>
        </w:tc>
      </w:tr>
      <w:tr w:rsidR="00F261D8" w:rsidRPr="004878CB" w:rsidTr="005F63AE">
        <w:trPr>
          <w:trHeight w:val="982"/>
        </w:trPr>
        <w:tc>
          <w:tcPr>
            <w:tcW w:w="9922" w:type="dxa"/>
            <w:shd w:val="clear" w:color="auto" w:fill="auto"/>
            <w:vAlign w:val="center"/>
          </w:tcPr>
          <w:p w:rsidR="00F261D8" w:rsidRDefault="00F261D8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F261D8" w:rsidRDefault="00F261D8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Prognosis of coeliac disease:</w:t>
            </w:r>
          </w:p>
          <w:p w:rsidR="00F261D8" w:rsidRDefault="00F261D8" w:rsidP="00984DCE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>
              <w:t>Recent population-based studies have shown only a minor or a non-significant increase in mortality in patients with coeliac disease</w:t>
            </w:r>
          </w:p>
          <w:p w:rsidR="00F261D8" w:rsidRDefault="00F261D8" w:rsidP="00984DCE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>
              <w:t>Severity of disease at presentation and poor adherence to a gluten-free diet are predictors of increased mortality.</w:t>
            </w:r>
          </w:p>
          <w:p w:rsidR="00F261D8" w:rsidRPr="00881A30" w:rsidRDefault="00F261D8" w:rsidP="00F261D8">
            <w:pPr>
              <w:spacing w:after="0" w:line="240" w:lineRule="auto"/>
              <w:ind w:left="720"/>
              <w:contextualSpacing/>
            </w:pPr>
          </w:p>
        </w:tc>
      </w:tr>
      <w:tr w:rsidR="00F261D8" w:rsidRPr="004878CB" w:rsidTr="005F63AE">
        <w:trPr>
          <w:trHeight w:val="982"/>
        </w:trPr>
        <w:tc>
          <w:tcPr>
            <w:tcW w:w="9922" w:type="dxa"/>
            <w:shd w:val="clear" w:color="auto" w:fill="auto"/>
            <w:vAlign w:val="center"/>
          </w:tcPr>
          <w:p w:rsidR="00F261D8" w:rsidRDefault="00F261D8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F261D8" w:rsidRDefault="00F261D8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Common questions concerning coeliac disease:</w:t>
            </w:r>
          </w:p>
          <w:p w:rsidR="00F261D8" w:rsidRDefault="00F261D8" w:rsidP="008C0E51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>
              <w:t>What are the microscopic features on duodenal biopsy?</w:t>
            </w:r>
          </w:p>
          <w:p w:rsidR="00F261D8" w:rsidRDefault="00F261D8" w:rsidP="000C2E32">
            <w:pPr>
              <w:numPr>
                <w:ilvl w:val="1"/>
                <w:numId w:val="22"/>
              </w:numPr>
              <w:spacing w:after="0" w:line="240" w:lineRule="auto"/>
              <w:contextualSpacing/>
            </w:pPr>
            <w:r>
              <w:t>Crypt hyperplasia; villous atrophy; epithelial lymphocytosis</w:t>
            </w:r>
          </w:p>
          <w:p w:rsidR="00F261D8" w:rsidRDefault="00F261D8" w:rsidP="000C2E32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>
              <w:t>What are the common complications of coeliac disease?</w:t>
            </w:r>
          </w:p>
          <w:p w:rsidR="00F261D8" w:rsidRDefault="00F261D8" w:rsidP="004A4A81">
            <w:pPr>
              <w:numPr>
                <w:ilvl w:val="1"/>
                <w:numId w:val="22"/>
              </w:numPr>
              <w:spacing w:after="0" w:line="240" w:lineRule="auto"/>
              <w:contextualSpacing/>
            </w:pPr>
            <w:r>
              <w:t>Iron-deficiency anaemia; folate and vitamin B12 deficiencies; osteoporosis</w:t>
            </w:r>
          </w:p>
          <w:p w:rsidR="00F261D8" w:rsidRPr="008C0E51" w:rsidRDefault="00F261D8" w:rsidP="00F261D8">
            <w:pPr>
              <w:spacing w:after="0" w:line="240" w:lineRule="auto"/>
              <w:ind w:left="1440"/>
              <w:contextualSpacing/>
            </w:pPr>
          </w:p>
        </w:tc>
      </w:tr>
    </w:tbl>
    <w:p w:rsidR="00DA5938" w:rsidRPr="00DA5938" w:rsidRDefault="00DA5938" w:rsidP="00DA5938">
      <w:pPr>
        <w:spacing w:after="0"/>
      </w:pPr>
    </w:p>
    <w:sectPr w:rsidR="00DA5938" w:rsidRPr="00DA5938" w:rsidSect="006113FD">
      <w:footerReference w:type="default" r:id="rId8"/>
      <w:pgSz w:w="11906" w:h="16838"/>
      <w:pgMar w:top="993" w:right="720" w:bottom="720" w:left="72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A6" w:rsidRDefault="000976A6" w:rsidP="005F63AE">
      <w:pPr>
        <w:spacing w:after="0" w:line="240" w:lineRule="auto"/>
      </w:pPr>
      <w:r>
        <w:separator/>
      </w:r>
    </w:p>
  </w:endnote>
  <w:endnote w:type="continuationSeparator" w:id="0">
    <w:p w:rsidR="000976A6" w:rsidRDefault="000976A6" w:rsidP="005F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AE" w:rsidRDefault="00984DCE" w:rsidP="006113FD">
    <w:pPr>
      <w:pStyle w:val="Footer"/>
      <w:tabs>
        <w:tab w:val="right" w:pos="10466"/>
      </w:tabs>
      <w:jc w:val="right"/>
    </w:pPr>
    <w:r>
      <w:tab/>
    </w:r>
    <w:r>
      <w:tab/>
    </w:r>
    <w:r>
      <w:tab/>
    </w:r>
    <w:r w:rsidR="006113F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15pt;height:24.25pt">
          <v:imagedata r:id="rId1" o:title="OME-logo-blue-adaptable-1-example"/>
        </v:shape>
      </w:pict>
    </w:r>
  </w:p>
  <w:p w:rsidR="005F63AE" w:rsidRDefault="005F63AE" w:rsidP="006113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A6" w:rsidRDefault="000976A6" w:rsidP="005F63AE">
      <w:pPr>
        <w:spacing w:after="0" w:line="240" w:lineRule="auto"/>
      </w:pPr>
      <w:r>
        <w:separator/>
      </w:r>
    </w:p>
  </w:footnote>
  <w:footnote w:type="continuationSeparator" w:id="0">
    <w:p w:rsidR="000976A6" w:rsidRDefault="000976A6" w:rsidP="005F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7167"/>
    <w:multiLevelType w:val="hybridMultilevel"/>
    <w:tmpl w:val="7568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B67"/>
    <w:multiLevelType w:val="hybridMultilevel"/>
    <w:tmpl w:val="CE98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387C"/>
    <w:multiLevelType w:val="hybridMultilevel"/>
    <w:tmpl w:val="5280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7B58"/>
    <w:multiLevelType w:val="hybridMultilevel"/>
    <w:tmpl w:val="6FFEF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92D"/>
    <w:multiLevelType w:val="hybridMultilevel"/>
    <w:tmpl w:val="1108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70C3"/>
    <w:multiLevelType w:val="hybridMultilevel"/>
    <w:tmpl w:val="615EE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94544"/>
    <w:multiLevelType w:val="hybridMultilevel"/>
    <w:tmpl w:val="F53E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77D5E"/>
    <w:multiLevelType w:val="hybridMultilevel"/>
    <w:tmpl w:val="A082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43B18"/>
    <w:multiLevelType w:val="hybridMultilevel"/>
    <w:tmpl w:val="6462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622CC"/>
    <w:multiLevelType w:val="hybridMultilevel"/>
    <w:tmpl w:val="269A3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E74E5"/>
    <w:multiLevelType w:val="hybridMultilevel"/>
    <w:tmpl w:val="A5C4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A0FF1"/>
    <w:multiLevelType w:val="hybridMultilevel"/>
    <w:tmpl w:val="6390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3546E"/>
    <w:multiLevelType w:val="hybridMultilevel"/>
    <w:tmpl w:val="7DB0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A073E"/>
    <w:multiLevelType w:val="hybridMultilevel"/>
    <w:tmpl w:val="B484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3547F"/>
    <w:multiLevelType w:val="hybridMultilevel"/>
    <w:tmpl w:val="2190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A7749"/>
    <w:multiLevelType w:val="hybridMultilevel"/>
    <w:tmpl w:val="FA10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429F6"/>
    <w:multiLevelType w:val="hybridMultilevel"/>
    <w:tmpl w:val="ECE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76946"/>
    <w:multiLevelType w:val="hybridMultilevel"/>
    <w:tmpl w:val="E78E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E63E8"/>
    <w:multiLevelType w:val="hybridMultilevel"/>
    <w:tmpl w:val="07F4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14533"/>
    <w:multiLevelType w:val="hybridMultilevel"/>
    <w:tmpl w:val="D36EB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31344"/>
    <w:multiLevelType w:val="hybridMultilevel"/>
    <w:tmpl w:val="729C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F1B5A"/>
    <w:multiLevelType w:val="hybridMultilevel"/>
    <w:tmpl w:val="E2F8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85787"/>
    <w:multiLevelType w:val="hybridMultilevel"/>
    <w:tmpl w:val="52E0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C5083"/>
    <w:multiLevelType w:val="hybridMultilevel"/>
    <w:tmpl w:val="B3DC8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F77AC"/>
    <w:multiLevelType w:val="hybridMultilevel"/>
    <w:tmpl w:val="8F18E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D11F1"/>
    <w:multiLevelType w:val="hybridMultilevel"/>
    <w:tmpl w:val="DCFA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A1843"/>
    <w:multiLevelType w:val="hybridMultilevel"/>
    <w:tmpl w:val="F2C875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A05B5F"/>
    <w:multiLevelType w:val="hybridMultilevel"/>
    <w:tmpl w:val="3C7C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562F5"/>
    <w:multiLevelType w:val="hybridMultilevel"/>
    <w:tmpl w:val="41ACE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D7A11"/>
    <w:multiLevelType w:val="hybridMultilevel"/>
    <w:tmpl w:val="FCDC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64C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93E1A70"/>
    <w:multiLevelType w:val="hybridMultilevel"/>
    <w:tmpl w:val="D6CC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70FD0"/>
    <w:multiLevelType w:val="hybridMultilevel"/>
    <w:tmpl w:val="24DEA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835F55"/>
    <w:multiLevelType w:val="hybridMultilevel"/>
    <w:tmpl w:val="2286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CD677A"/>
    <w:multiLevelType w:val="hybridMultilevel"/>
    <w:tmpl w:val="7402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117C7"/>
    <w:multiLevelType w:val="hybridMultilevel"/>
    <w:tmpl w:val="BC2A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76648"/>
    <w:multiLevelType w:val="hybridMultilevel"/>
    <w:tmpl w:val="31529B3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101822"/>
    <w:multiLevelType w:val="hybridMultilevel"/>
    <w:tmpl w:val="7D60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314A3"/>
    <w:multiLevelType w:val="hybridMultilevel"/>
    <w:tmpl w:val="C606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52731"/>
    <w:multiLevelType w:val="hybridMultilevel"/>
    <w:tmpl w:val="74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91AC9"/>
    <w:multiLevelType w:val="hybridMultilevel"/>
    <w:tmpl w:val="7BB6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C7890"/>
    <w:multiLevelType w:val="hybridMultilevel"/>
    <w:tmpl w:val="DE4E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B5ECA"/>
    <w:multiLevelType w:val="hybridMultilevel"/>
    <w:tmpl w:val="89FE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32C01"/>
    <w:multiLevelType w:val="hybridMultilevel"/>
    <w:tmpl w:val="BAB2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A360F"/>
    <w:multiLevelType w:val="hybridMultilevel"/>
    <w:tmpl w:val="3ABE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F22BA"/>
    <w:multiLevelType w:val="hybridMultilevel"/>
    <w:tmpl w:val="F0DC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15"/>
  </w:num>
  <w:num w:numId="4">
    <w:abstractNumId w:val="35"/>
  </w:num>
  <w:num w:numId="5">
    <w:abstractNumId w:val="25"/>
  </w:num>
  <w:num w:numId="6">
    <w:abstractNumId w:val="21"/>
  </w:num>
  <w:num w:numId="7">
    <w:abstractNumId w:val="37"/>
  </w:num>
  <w:num w:numId="8">
    <w:abstractNumId w:val="28"/>
  </w:num>
  <w:num w:numId="9">
    <w:abstractNumId w:val="20"/>
  </w:num>
  <w:num w:numId="10">
    <w:abstractNumId w:val="9"/>
  </w:num>
  <w:num w:numId="11">
    <w:abstractNumId w:val="10"/>
  </w:num>
  <w:num w:numId="12">
    <w:abstractNumId w:val="29"/>
  </w:num>
  <w:num w:numId="13">
    <w:abstractNumId w:val="38"/>
  </w:num>
  <w:num w:numId="14">
    <w:abstractNumId w:val="33"/>
  </w:num>
  <w:num w:numId="15">
    <w:abstractNumId w:val="6"/>
  </w:num>
  <w:num w:numId="16">
    <w:abstractNumId w:val="24"/>
  </w:num>
  <w:num w:numId="17">
    <w:abstractNumId w:val="16"/>
  </w:num>
  <w:num w:numId="18">
    <w:abstractNumId w:val="44"/>
  </w:num>
  <w:num w:numId="19">
    <w:abstractNumId w:val="11"/>
  </w:num>
  <w:num w:numId="20">
    <w:abstractNumId w:val="2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  <w:num w:numId="25">
    <w:abstractNumId w:val="43"/>
  </w:num>
  <w:num w:numId="26">
    <w:abstractNumId w:val="7"/>
  </w:num>
  <w:num w:numId="27">
    <w:abstractNumId w:val="39"/>
  </w:num>
  <w:num w:numId="28">
    <w:abstractNumId w:val="4"/>
  </w:num>
  <w:num w:numId="29">
    <w:abstractNumId w:val="18"/>
  </w:num>
  <w:num w:numId="30">
    <w:abstractNumId w:val="34"/>
  </w:num>
  <w:num w:numId="31">
    <w:abstractNumId w:val="32"/>
  </w:num>
  <w:num w:numId="32">
    <w:abstractNumId w:val="19"/>
  </w:num>
  <w:num w:numId="33">
    <w:abstractNumId w:val="26"/>
  </w:num>
  <w:num w:numId="34">
    <w:abstractNumId w:val="17"/>
  </w:num>
  <w:num w:numId="35">
    <w:abstractNumId w:val="12"/>
  </w:num>
  <w:num w:numId="36">
    <w:abstractNumId w:val="40"/>
  </w:num>
  <w:num w:numId="37">
    <w:abstractNumId w:val="27"/>
  </w:num>
  <w:num w:numId="38">
    <w:abstractNumId w:val="22"/>
  </w:num>
  <w:num w:numId="39">
    <w:abstractNumId w:val="45"/>
  </w:num>
  <w:num w:numId="40">
    <w:abstractNumId w:val="23"/>
  </w:num>
  <w:num w:numId="41">
    <w:abstractNumId w:val="30"/>
  </w:num>
  <w:num w:numId="42">
    <w:abstractNumId w:val="36"/>
  </w:num>
  <w:num w:numId="43">
    <w:abstractNumId w:val="8"/>
  </w:num>
  <w:num w:numId="44">
    <w:abstractNumId w:val="42"/>
  </w:num>
  <w:num w:numId="45">
    <w:abstractNumId w:val="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727"/>
    <w:rsid w:val="0005757F"/>
    <w:rsid w:val="00063007"/>
    <w:rsid w:val="000644A9"/>
    <w:rsid w:val="00080AB6"/>
    <w:rsid w:val="0009734F"/>
    <w:rsid w:val="000976A6"/>
    <w:rsid w:val="000A73A2"/>
    <w:rsid w:val="000C2E32"/>
    <w:rsid w:val="000E7045"/>
    <w:rsid w:val="00105911"/>
    <w:rsid w:val="00106FD6"/>
    <w:rsid w:val="00123167"/>
    <w:rsid w:val="00130F43"/>
    <w:rsid w:val="001321C2"/>
    <w:rsid w:val="001C7D08"/>
    <w:rsid w:val="001F5BF1"/>
    <w:rsid w:val="00292FEB"/>
    <w:rsid w:val="002A422A"/>
    <w:rsid w:val="002A70D1"/>
    <w:rsid w:val="002B3816"/>
    <w:rsid w:val="002C0EA2"/>
    <w:rsid w:val="0030784F"/>
    <w:rsid w:val="003653CE"/>
    <w:rsid w:val="00376F4B"/>
    <w:rsid w:val="0038350B"/>
    <w:rsid w:val="003949D2"/>
    <w:rsid w:val="003B7824"/>
    <w:rsid w:val="003C4EE7"/>
    <w:rsid w:val="003E068D"/>
    <w:rsid w:val="00445BBC"/>
    <w:rsid w:val="0046638F"/>
    <w:rsid w:val="00473727"/>
    <w:rsid w:val="00473C74"/>
    <w:rsid w:val="00490A4A"/>
    <w:rsid w:val="004A4A81"/>
    <w:rsid w:val="004B0306"/>
    <w:rsid w:val="00505C26"/>
    <w:rsid w:val="00513BAE"/>
    <w:rsid w:val="005411B6"/>
    <w:rsid w:val="00545A40"/>
    <w:rsid w:val="005F63AE"/>
    <w:rsid w:val="006006F6"/>
    <w:rsid w:val="00605BFF"/>
    <w:rsid w:val="00607C24"/>
    <w:rsid w:val="006113FD"/>
    <w:rsid w:val="006A3CAD"/>
    <w:rsid w:val="0072507C"/>
    <w:rsid w:val="00763697"/>
    <w:rsid w:val="0076488A"/>
    <w:rsid w:val="008348D5"/>
    <w:rsid w:val="00843B89"/>
    <w:rsid w:val="00881A30"/>
    <w:rsid w:val="0089205B"/>
    <w:rsid w:val="008A1F65"/>
    <w:rsid w:val="008B2623"/>
    <w:rsid w:val="008C0E51"/>
    <w:rsid w:val="008D3CD4"/>
    <w:rsid w:val="00900CB2"/>
    <w:rsid w:val="009545F7"/>
    <w:rsid w:val="0096140F"/>
    <w:rsid w:val="00984DCE"/>
    <w:rsid w:val="009B0D3A"/>
    <w:rsid w:val="009B3098"/>
    <w:rsid w:val="009C4B13"/>
    <w:rsid w:val="00A1157B"/>
    <w:rsid w:val="00A15082"/>
    <w:rsid w:val="00A22FDC"/>
    <w:rsid w:val="00A76556"/>
    <w:rsid w:val="00AB1E79"/>
    <w:rsid w:val="00AC351A"/>
    <w:rsid w:val="00B07814"/>
    <w:rsid w:val="00B22F18"/>
    <w:rsid w:val="00B306B3"/>
    <w:rsid w:val="00B30D14"/>
    <w:rsid w:val="00B67424"/>
    <w:rsid w:val="00B73859"/>
    <w:rsid w:val="00BF32CA"/>
    <w:rsid w:val="00C451B4"/>
    <w:rsid w:val="00C93657"/>
    <w:rsid w:val="00CC323C"/>
    <w:rsid w:val="00D045A6"/>
    <w:rsid w:val="00D226A4"/>
    <w:rsid w:val="00D54133"/>
    <w:rsid w:val="00D56156"/>
    <w:rsid w:val="00DA5938"/>
    <w:rsid w:val="00DB7389"/>
    <w:rsid w:val="00E31613"/>
    <w:rsid w:val="00EF3171"/>
    <w:rsid w:val="00F261D8"/>
    <w:rsid w:val="00F4187A"/>
    <w:rsid w:val="00F6403B"/>
    <w:rsid w:val="00FA6571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79AF4E-9B29-40B6-B9F9-BE6F747A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27"/>
    <w:pPr>
      <w:ind w:left="720"/>
      <w:contextualSpacing/>
    </w:pPr>
  </w:style>
  <w:style w:type="character" w:customStyle="1" w:styleId="apple-converted-space">
    <w:name w:val="apple-converted-space"/>
    <w:rsid w:val="00E31613"/>
  </w:style>
  <w:style w:type="character" w:styleId="Hyperlink">
    <w:name w:val="Hyperlink"/>
    <w:uiPriority w:val="99"/>
    <w:semiHidden/>
    <w:unhideWhenUsed/>
    <w:rsid w:val="00E316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3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63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63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63A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3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5775-072A-4CBB-B06C-61CAD42E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 Medical Education</dc:creator>
  <cp:keywords/>
  <cp:lastModifiedBy>Jack Pottle</cp:lastModifiedBy>
  <cp:revision>3</cp:revision>
  <dcterms:created xsi:type="dcterms:W3CDTF">2014-12-08T20:29:00Z</dcterms:created>
  <dcterms:modified xsi:type="dcterms:W3CDTF">2014-12-08T20:30:00Z</dcterms:modified>
</cp:coreProperties>
</file>